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32"/>
          <w:szCs w:val="32"/>
        </w:rPr>
      </w:pPr>
      <w:r w:rsidRPr="00831B10">
        <w:rPr>
          <w:b/>
          <w:bCs/>
          <w:sz w:val="32"/>
          <w:szCs w:val="32"/>
        </w:rPr>
        <w:t>ПРОЕКТ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831B10">
        <w:rPr>
          <w:b/>
          <w:bCs/>
          <w:sz w:val="24"/>
          <w:szCs w:val="24"/>
        </w:rPr>
        <w:t>СОВЕТ КАЙБИЦКОГО МУНИЦИПАЛЬНОГО РАЙОНА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831B10">
        <w:rPr>
          <w:b/>
          <w:bCs/>
          <w:sz w:val="24"/>
          <w:szCs w:val="24"/>
        </w:rPr>
        <w:t>РЕСПУБЛИКИ ТАТАРСТАН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831B10">
        <w:rPr>
          <w:b/>
          <w:bCs/>
          <w:sz w:val="24"/>
          <w:szCs w:val="24"/>
        </w:rPr>
        <w:t>РЕШЕНИЕ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831B10">
        <w:rPr>
          <w:b/>
          <w:bCs/>
          <w:sz w:val="24"/>
          <w:szCs w:val="24"/>
        </w:rPr>
        <w:t>от ____________ 2015 г. №______</w:t>
      </w:r>
    </w:p>
    <w:p w:rsidR="00831B10" w:rsidRPr="00831B10" w:rsidRDefault="00831B10" w:rsidP="00831B10">
      <w:pPr>
        <w:widowControl/>
        <w:overflowPunct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</w:p>
    <w:p w:rsidR="00831B10" w:rsidRDefault="00831B10" w:rsidP="00831B10">
      <w:pPr>
        <w:overflowPunct/>
        <w:spacing w:before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 «КАЙБИЦКИЙ МУНИЦИПАЛЬНЫЙ РАЙОН РЕСПУБЛИКИ ТАТАРСТАН</w:t>
      </w: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</w:p>
    <w:p w:rsidR="00831B10" w:rsidRDefault="00831B10" w:rsidP="00831B10">
      <w:pPr>
        <w:overflowPunct/>
        <w:spacing w:before="0" w:line="240" w:lineRule="auto"/>
        <w:ind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Татарстан», статьями 87, 88, 89 Устава муниципального образования </w:t>
      </w:r>
      <w:proofErr w:type="spellStart"/>
      <w:r>
        <w:rPr>
          <w:sz w:val="28"/>
          <w:szCs w:val="28"/>
        </w:rPr>
        <w:t>Кайбицкий</w:t>
      </w:r>
      <w:proofErr w:type="spellEnd"/>
      <w:r>
        <w:rPr>
          <w:sz w:val="28"/>
          <w:szCs w:val="28"/>
        </w:rPr>
        <w:t xml:space="preserve"> муниципальный район Республики Татарстан Совет Кайбицкого муниципального района Республики Татарстан </w:t>
      </w:r>
      <w:r>
        <w:rPr>
          <w:b/>
          <w:sz w:val="28"/>
          <w:szCs w:val="28"/>
        </w:rPr>
        <w:t>решил:</w:t>
      </w:r>
      <w:proofErr w:type="gramEnd"/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1.Внести в Устав муниципального образования «</w:t>
      </w:r>
      <w:proofErr w:type="spellStart"/>
      <w:r>
        <w:rPr>
          <w:sz w:val="28"/>
          <w:szCs w:val="28"/>
        </w:rPr>
        <w:t>Кайбицкий</w:t>
      </w:r>
      <w:proofErr w:type="spellEnd"/>
      <w:r>
        <w:rPr>
          <w:sz w:val="28"/>
          <w:szCs w:val="28"/>
        </w:rPr>
        <w:t xml:space="preserve"> муниципальный район Республики Татарстан», принятый решением Совета Кайбицкого муниципального района Республики Татарстан от 26 апреля 2011 года № 50 изменения согласно приложению.</w:t>
      </w: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831B10" w:rsidRDefault="00831B10" w:rsidP="00831B10">
      <w:pPr>
        <w:overflowPunct/>
        <w:spacing w:before="0" w:line="24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3.Опубликовать настоящее решения после государственной регистрации в </w:t>
      </w:r>
      <w:r>
        <w:rPr>
          <w:rFonts w:eastAsia="Calibri"/>
          <w:sz w:val="28"/>
          <w:szCs w:val="28"/>
          <w:lang w:eastAsia="en-US"/>
        </w:rPr>
        <w:t xml:space="preserve"> районной газете «</w:t>
      </w:r>
      <w:proofErr w:type="spellStart"/>
      <w:r>
        <w:rPr>
          <w:rFonts w:eastAsia="Calibri"/>
          <w:sz w:val="28"/>
          <w:szCs w:val="28"/>
          <w:lang w:eastAsia="en-US"/>
        </w:rPr>
        <w:t>Кайбицкие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зори»</w:t>
      </w:r>
      <w:r>
        <w:rPr>
          <w:i/>
          <w:sz w:val="28"/>
          <w:szCs w:val="28"/>
        </w:rPr>
        <w:t>.</w:t>
      </w: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4.Настоящее решение вступает в силу со дня его официального опубликования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89 Устава муниципального образования «</w:t>
      </w:r>
      <w:proofErr w:type="spellStart"/>
      <w:r>
        <w:rPr>
          <w:sz w:val="28"/>
          <w:szCs w:val="28"/>
        </w:rPr>
        <w:t>Кайбицкий</w:t>
      </w:r>
      <w:proofErr w:type="spellEnd"/>
      <w:r>
        <w:rPr>
          <w:sz w:val="28"/>
          <w:szCs w:val="28"/>
        </w:rPr>
        <w:t xml:space="preserve"> муниципальный район Республики Татарстан», за исключением  пунктов «а, б, в» в части 1, части 2, части 7 изменений, вносимые</w:t>
      </w:r>
      <w:proofErr w:type="gramEnd"/>
      <w:r>
        <w:rPr>
          <w:sz w:val="28"/>
          <w:szCs w:val="28"/>
        </w:rPr>
        <w:t xml:space="preserve"> в Устав Кайбицкого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Республики Татарстан.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 Пункты «а, б,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»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части 1, часть 2, часть 7 изменений, вносимые в Устав Кайбицкого муниципального района Республики Татарстан настоящего решения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вступают в силу с 1 января 2016 года.</w:t>
      </w:r>
    </w:p>
    <w:p w:rsidR="00831B10" w:rsidRDefault="00831B10" w:rsidP="00831B10">
      <w:pPr>
        <w:overflowPunct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</w:t>
      </w:r>
      <w:r>
        <w:rPr>
          <w:rFonts w:eastAsia="Calibri"/>
          <w:sz w:val="28"/>
          <w:szCs w:val="28"/>
          <w:lang w:eastAsia="en-US"/>
        </w:rPr>
        <w:t xml:space="preserve">заместителя председателя Совета  Кайбицкого муниципального района Р.Р. </w:t>
      </w:r>
      <w:proofErr w:type="spellStart"/>
      <w:r>
        <w:rPr>
          <w:rFonts w:eastAsia="Calibri"/>
          <w:sz w:val="28"/>
          <w:szCs w:val="28"/>
          <w:lang w:eastAsia="en-US"/>
        </w:rPr>
        <w:t>Хаялиева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0"/>
        <w:jc w:val="left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Председатель Совета-</w:t>
      </w:r>
    </w:p>
    <w:p w:rsidR="00831B10" w:rsidRDefault="00831B10" w:rsidP="00831B10">
      <w:pPr>
        <w:widowControl/>
        <w:overflowPunct/>
        <w:spacing w:before="0" w:line="240" w:lineRule="auto"/>
        <w:ind w:firstLine="0"/>
        <w:jc w:val="left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Глава Кайбицкого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муниципального района                                                 А.И.Рахматуллин</w:t>
      </w:r>
    </w:p>
    <w:p w:rsidR="00831B10" w:rsidRDefault="00831B10" w:rsidP="00831B10">
      <w:pPr>
        <w:overflowPunct/>
        <w:spacing w:before="0" w:line="240" w:lineRule="auto"/>
        <w:ind w:firstLine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831B10" w:rsidRPr="00831B10" w:rsidRDefault="00831B10" w:rsidP="00831B10">
      <w:pPr>
        <w:overflowPunct/>
        <w:spacing w:before="0" w:line="240" w:lineRule="auto"/>
        <w:ind w:firstLine="0"/>
        <w:jc w:val="right"/>
        <w:outlineLvl w:val="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831B10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831B10" w:rsidRPr="00831B10" w:rsidRDefault="00831B10" w:rsidP="00831B10">
      <w:pPr>
        <w:overflowPunct/>
        <w:spacing w:before="0"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831B10">
        <w:rPr>
          <w:rFonts w:eastAsia="Calibri"/>
          <w:sz w:val="24"/>
          <w:szCs w:val="24"/>
          <w:lang w:eastAsia="en-US"/>
        </w:rPr>
        <w:t>к решению Совета</w:t>
      </w:r>
    </w:p>
    <w:p w:rsidR="00831B10" w:rsidRPr="00831B10" w:rsidRDefault="00831B10" w:rsidP="00831B10">
      <w:pPr>
        <w:overflowPunct/>
        <w:spacing w:before="0"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831B10">
        <w:rPr>
          <w:rFonts w:eastAsia="Calibri"/>
          <w:sz w:val="24"/>
          <w:szCs w:val="24"/>
          <w:lang w:eastAsia="en-US"/>
        </w:rPr>
        <w:t>Кайбицкого муниципального района</w:t>
      </w:r>
    </w:p>
    <w:p w:rsidR="00831B10" w:rsidRPr="00831B10" w:rsidRDefault="00831B10" w:rsidP="00831B10">
      <w:pPr>
        <w:overflowPunct/>
        <w:spacing w:before="0"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831B10">
        <w:rPr>
          <w:rFonts w:eastAsia="Calibri"/>
          <w:sz w:val="24"/>
          <w:szCs w:val="24"/>
          <w:lang w:eastAsia="en-US"/>
        </w:rPr>
        <w:t>от __________ 2015 г. №___</w:t>
      </w:r>
    </w:p>
    <w:p w:rsidR="00831B10" w:rsidRPr="00831B10" w:rsidRDefault="00831B10" w:rsidP="00831B10">
      <w:pPr>
        <w:widowControl/>
        <w:overflowPunct/>
        <w:autoSpaceDE/>
        <w:autoSpaceDN/>
        <w:adjustRightInd/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831B10" w:rsidRDefault="00831B10" w:rsidP="00831B10">
      <w:pPr>
        <w:overflowPunct/>
        <w:spacing w:before="0" w:line="240" w:lineRule="auto"/>
        <w:ind w:firstLine="709"/>
        <w:jc w:val="right"/>
        <w:rPr>
          <w:sz w:val="28"/>
          <w:szCs w:val="28"/>
        </w:rPr>
      </w:pPr>
    </w:p>
    <w:p w:rsidR="00831B10" w:rsidRDefault="00831B10" w:rsidP="00831B10">
      <w:pPr>
        <w:overflowPunct/>
        <w:spacing w:before="0" w:line="240" w:lineRule="auto"/>
        <w:ind w:firstLine="709"/>
        <w:rPr>
          <w:sz w:val="28"/>
          <w:szCs w:val="28"/>
        </w:rPr>
      </w:pPr>
    </w:p>
    <w:p w:rsidR="00831B10" w:rsidRDefault="00831B10" w:rsidP="00831B10">
      <w:pPr>
        <w:overflowPunct/>
        <w:spacing w:before="0" w:line="240" w:lineRule="auto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Изменения, вносимые в Устав Кайбицкого муниципального района Республики Татарстан</w:t>
      </w:r>
      <w:proofErr w:type="gramEnd"/>
    </w:p>
    <w:p w:rsidR="00831B10" w:rsidRDefault="00831B10" w:rsidP="00831B10">
      <w:pPr>
        <w:widowControl/>
        <w:overflowPunct/>
        <w:spacing w:before="0" w:line="240" w:lineRule="auto"/>
        <w:ind w:firstLine="840"/>
        <w:outlineLvl w:val="2"/>
        <w:rPr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/>
          <w:bCs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hyperlink r:id="rId5" w:history="1">
        <w:r>
          <w:rPr>
            <w:rStyle w:val="a3"/>
            <w:rFonts w:eastAsia="Calibri"/>
            <w:b/>
            <w:bCs/>
            <w:color w:val="auto"/>
            <w:sz w:val="28"/>
            <w:szCs w:val="28"/>
            <w:u w:val="none"/>
            <w:lang w:eastAsia="en-US"/>
          </w:rPr>
          <w:t xml:space="preserve"> Части 1 статьи </w:t>
        </w:r>
      </w:hyperlink>
      <w:r>
        <w:rPr>
          <w:rFonts w:eastAsia="Calibri"/>
          <w:b/>
          <w:bCs/>
          <w:sz w:val="28"/>
          <w:szCs w:val="28"/>
          <w:lang w:eastAsia="en-US"/>
        </w:rPr>
        <w:t>6: «Вопросы местного значения района: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а) </w:t>
      </w:r>
      <w:hyperlink r:id="rId6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 xml:space="preserve">пункт 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16 </w:t>
      </w:r>
      <w:hyperlink r:id="rId7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 xml:space="preserve"> 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 изменить и изложить в следующей редакции: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«16)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proofErr w:type="gramStart"/>
      <w:r>
        <w:rPr>
          <w:rFonts w:eastAsia="Calibri"/>
          <w:bCs/>
          <w:sz w:val="28"/>
          <w:szCs w:val="28"/>
          <w:lang w:eastAsia="en-US"/>
        </w:rPr>
        <w:t>;»</w:t>
      </w:r>
      <w:proofErr w:type="gramEnd"/>
      <w:r>
        <w:rPr>
          <w:rFonts w:eastAsia="Calibri"/>
          <w:bCs/>
          <w:sz w:val="28"/>
          <w:szCs w:val="28"/>
          <w:lang w:eastAsia="en-US"/>
        </w:rPr>
        <w:t>;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в </w:t>
      </w:r>
      <w:hyperlink r:id="rId8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>пункте 1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7 </w:t>
      </w:r>
      <w:r>
        <w:rPr>
          <w:sz w:val="28"/>
          <w:szCs w:val="28"/>
          <w:lang w:val="tt-RU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слова «, в том числе путем выкупа</w:t>
      </w:r>
      <w:proofErr w:type="gramStart"/>
      <w:r>
        <w:rPr>
          <w:rFonts w:eastAsia="Calibri"/>
          <w:bCs/>
          <w:sz w:val="28"/>
          <w:szCs w:val="28"/>
          <w:lang w:eastAsia="en-US"/>
        </w:rPr>
        <w:t>,»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исключить;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</w:t>
      </w:r>
      <w:hyperlink r:id="rId9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пунктом 24.1 следующего содержания: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«24.1)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proofErr w:type="gramStart"/>
      <w:r>
        <w:rPr>
          <w:rFonts w:eastAsia="Calibri"/>
          <w:bCs/>
          <w:sz w:val="28"/>
          <w:szCs w:val="28"/>
          <w:lang w:eastAsia="en-US"/>
        </w:rPr>
        <w:t>;»</w:t>
      </w:r>
      <w:proofErr w:type="gramEnd"/>
      <w:r>
        <w:rPr>
          <w:rFonts w:eastAsia="Calibri"/>
          <w:bCs/>
          <w:sz w:val="28"/>
          <w:szCs w:val="28"/>
          <w:lang w:eastAsia="en-US"/>
        </w:rPr>
        <w:t>;</w:t>
      </w:r>
    </w:p>
    <w:p w:rsidR="00831B10" w:rsidRDefault="00831B10" w:rsidP="00831B10">
      <w:pPr>
        <w:widowControl/>
        <w:overflowPunct/>
        <w:spacing w:before="0" w:line="240" w:lineRule="auto"/>
        <w:ind w:firstLine="840"/>
        <w:outlineLvl w:val="2"/>
        <w:rPr>
          <w:sz w:val="28"/>
          <w:szCs w:val="28"/>
          <w:lang w:val="tt-RU"/>
        </w:rPr>
      </w:pPr>
      <w:r>
        <w:rPr>
          <w:sz w:val="28"/>
          <w:szCs w:val="28"/>
        </w:rPr>
        <w:t>г)</w:t>
      </w:r>
      <w:hyperlink r:id="rId10" w:history="1">
        <w:r>
          <w:rPr>
            <w:rStyle w:val="a3"/>
            <w:color w:val="auto"/>
            <w:sz w:val="28"/>
            <w:szCs w:val="28"/>
            <w:u w:val="none"/>
            <w:lang w:val="tt-RU"/>
          </w:rPr>
          <w:t xml:space="preserve">пункт 31  </w:t>
        </w:r>
      </w:hyperlink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изменить и </w:t>
      </w:r>
      <w:r>
        <w:rPr>
          <w:sz w:val="28"/>
          <w:szCs w:val="28"/>
          <w:lang w:val="tt-RU"/>
        </w:rPr>
        <w:t>изложить в следующей редакции: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«31)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proofErr w:type="gramStart"/>
      <w:r>
        <w:rPr>
          <w:rFonts w:eastAsia="Calibri"/>
          <w:bCs/>
          <w:sz w:val="28"/>
          <w:szCs w:val="28"/>
          <w:lang w:eastAsia="en-US"/>
        </w:rPr>
        <w:t>;»</w:t>
      </w:r>
      <w:proofErr w:type="gramEnd"/>
      <w:r>
        <w:rPr>
          <w:rFonts w:eastAsia="Calibri"/>
          <w:bCs/>
          <w:sz w:val="28"/>
          <w:szCs w:val="28"/>
          <w:lang w:eastAsia="en-US"/>
        </w:rPr>
        <w:t>.</w:t>
      </w:r>
    </w:p>
    <w:p w:rsidR="00831B10" w:rsidRDefault="00831B10" w:rsidP="00831B10">
      <w:pPr>
        <w:widowControl/>
        <w:tabs>
          <w:tab w:val="left" w:pos="5670"/>
        </w:tabs>
        <w:suppressAutoHyphens/>
        <w:overflowPunct/>
        <w:autoSpaceDE/>
        <w:spacing w:before="0" w:line="240" w:lineRule="auto"/>
        <w:ind w:firstLine="709"/>
        <w:rPr>
          <w:b/>
          <w:sz w:val="28"/>
          <w:szCs w:val="28"/>
        </w:rPr>
      </w:pPr>
    </w:p>
    <w:p w:rsidR="00831B10" w:rsidRDefault="00831B10" w:rsidP="00831B10">
      <w:pPr>
        <w:widowControl/>
        <w:tabs>
          <w:tab w:val="left" w:pos="5670"/>
        </w:tabs>
        <w:suppressAutoHyphens/>
        <w:overflowPunct/>
        <w:autoSpaceDE/>
        <w:spacing w:before="0" w:line="240" w:lineRule="auto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Статью 6.1 «Вопросы местного значения, решаемые органами местного самоуправления района на территориях сельских поселений, входящих в состав района» </w:t>
      </w:r>
      <w:r>
        <w:rPr>
          <w:b/>
          <w:sz w:val="28"/>
          <w:szCs w:val="28"/>
        </w:rPr>
        <w:t xml:space="preserve">изменить и </w:t>
      </w:r>
      <w:r>
        <w:rPr>
          <w:b/>
          <w:sz w:val="28"/>
          <w:szCs w:val="28"/>
          <w:lang w:val="tt-RU"/>
        </w:rPr>
        <w:t>изложить в следующей редакции</w:t>
      </w:r>
      <w:r>
        <w:rPr>
          <w:b/>
          <w:bCs/>
          <w:sz w:val="28"/>
          <w:szCs w:val="28"/>
        </w:rPr>
        <w:t xml:space="preserve">: 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6.1. Вопросы местного значения, решаемые органами местного самоуправления района на территориях сельских поселений, входящих в состав района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органов; 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создание условий для предоставления транспортных услуг населению и организация транспортного обслуживания населения в границах сельских поселений;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сельских поселений;</w:t>
      </w:r>
    </w:p>
    <w:p w:rsidR="00831B10" w:rsidRDefault="00831B10" w:rsidP="00831B10">
      <w:pPr>
        <w:widowControl/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 участие в предупреждении и ликвидации последствий чрезвычайных ситуаций в границах сельских поселений;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объектов культурного наследия (памятников истории и культуры) местного (муниципального) значения, расположенных на территории сельских поселений;</w:t>
      </w:r>
    </w:p>
    <w:p w:rsidR="00831B10" w:rsidRDefault="00831B10" w:rsidP="00831B10">
      <w:pPr>
        <w:widowControl/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8) использование, охрана, защита, воспроизводство лесов сельских поселений, лесов особо охраняемых природных территорий, расположенных в границах населенных пунктов сельских поселений;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утверждение генеральных планов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 (за исключением случаев, предусмотренных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</w:t>
      </w:r>
      <w:proofErr w:type="gramEnd"/>
      <w:r>
        <w:rPr>
          <w:sz w:val="28"/>
          <w:szCs w:val="28"/>
        </w:rPr>
        <w:t xml:space="preserve"> сельских поселений, резервирование земель и изъятие, в том числе путем выкупа, земельных участков в границах сельских поселений для муниципальных нужд, осуществление муниципального земельного контроля в границах сельских поселений, осуществление в случаях, предусмотренных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10) организация и осуществление мероприятий по территориальной обороне и гражданской обороне, защите населения и территории сельских поселений от чрезвычайных ситуаций природного и техногенного характера;</w:t>
      </w:r>
    </w:p>
    <w:p w:rsidR="00831B10" w:rsidRDefault="00831B10" w:rsidP="00831B10">
      <w:pPr>
        <w:widowControl/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 создание, содержание и организация деятельности аварийно-спасательных служб и (или) аварийно-спасательных формирований на территории сельских поселений;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12) осуществление мероприятий по обеспечению безопасности людей на водных объектах, охране их жизни и здоровья;</w:t>
      </w:r>
    </w:p>
    <w:p w:rsidR="00831B10" w:rsidRDefault="00831B10" w:rsidP="00831B10">
      <w:pPr>
        <w:widowControl/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13) создание, развитие и обеспечение охраны лечебно-оздоровительных местностей и курортов местного значения на территории сельских поселений,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14) осуществление в пределах, установленных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водным законодательством</w:t>
        </w:r>
      </w:hyperlink>
      <w:r>
        <w:rPr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15) осуществление муниципального лесного контроля;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16)предоставление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31B10" w:rsidRDefault="00831B10" w:rsidP="00831B10">
      <w:pPr>
        <w:widowControl/>
        <w:overflowPunct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17) до 1 января 2017 года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предоставление</w:t>
        </w:r>
      </w:hyperlink>
      <w:r>
        <w:rPr>
          <w:sz w:val="28"/>
          <w:szCs w:val="28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18) оказание поддержки социально ориентированным некоммерческим организациям в пределах полномочий, установленных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статьями 31.1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31.3</w:t>
        </w:r>
      </w:hyperlink>
      <w:r>
        <w:rPr>
          <w:sz w:val="28"/>
          <w:szCs w:val="28"/>
        </w:rPr>
        <w:t xml:space="preserve"> Федерального закона от 12 января 1996 года № 7-ФЗ «О некоммерческих организациях»;</w:t>
      </w:r>
    </w:p>
    <w:p w:rsidR="00831B10" w:rsidRDefault="00831B10" w:rsidP="00831B10">
      <w:pPr>
        <w:keepNext/>
        <w:widowControl/>
        <w:overflowPunct/>
        <w:autoSpaceDE/>
        <w:adjustRightInd/>
        <w:spacing w:before="0" w:line="240" w:lineRule="auto"/>
        <w:ind w:firstLine="709"/>
        <w:outlineLvl w:val="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19) 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от 19 июля 2011 г.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  <w:proofErr w:type="gramEnd"/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20) осуществление мер по противодействию коррупции в границах сельских поселений;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21) участие в соответствии с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24 июля 2007 года № 221-ФЗ «О государственном кадастре недвижимости» в выполнении комплексных кадастровых работ.</w:t>
      </w: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3.Статью 19 «Опрос </w:t>
      </w:r>
      <w:r>
        <w:rPr>
          <w:b/>
          <w:sz w:val="28"/>
          <w:szCs w:val="28"/>
        </w:rPr>
        <w:t xml:space="preserve">граждан» </w:t>
      </w:r>
      <w:r>
        <w:rPr>
          <w:b/>
          <w:bCs/>
          <w:sz w:val="28"/>
          <w:szCs w:val="28"/>
        </w:rPr>
        <w:t>дополнить частью 5.1 следующего содержания: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4"/>
          <w:lang w:eastAsia="en-US"/>
        </w:rPr>
        <w:t>5.1. Порядок назначения и проведения опроса граждан определяется уставом района  или нормативными правовыми актами Совета района</w:t>
      </w:r>
      <w:proofErr w:type="gramStart"/>
      <w:r>
        <w:rPr>
          <w:rFonts w:eastAsia="Calibri"/>
          <w:bCs/>
          <w:sz w:val="28"/>
          <w:szCs w:val="24"/>
          <w:lang w:eastAsia="en-US"/>
        </w:rPr>
        <w:t>.».</w:t>
      </w:r>
      <w:proofErr w:type="gramEnd"/>
    </w:p>
    <w:p w:rsidR="00831B10" w:rsidRDefault="00831B10" w:rsidP="00831B10">
      <w:pPr>
        <w:widowControl/>
        <w:overflowPunct/>
        <w:spacing w:before="0" w:line="240" w:lineRule="auto"/>
        <w:ind w:firstLine="840"/>
        <w:outlineLvl w:val="2"/>
        <w:rPr>
          <w:rFonts w:eastAsia="Calibri"/>
          <w:b/>
          <w:bCs/>
          <w:sz w:val="28"/>
          <w:szCs w:val="28"/>
          <w:lang w:eastAsia="en-US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840"/>
        <w:outlineLvl w:val="2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4. С</w:t>
      </w:r>
      <w:r>
        <w:rPr>
          <w:b/>
          <w:sz w:val="28"/>
          <w:szCs w:val="28"/>
        </w:rPr>
        <w:t>татья 26 «Статус депутата Совета района»:</w:t>
      </w:r>
    </w:p>
    <w:p w:rsidR="00831B10" w:rsidRDefault="00831B10" w:rsidP="00831B10">
      <w:pPr>
        <w:widowControl/>
        <w:overflowPunct/>
        <w:spacing w:before="0" w:line="240" w:lineRule="auto"/>
        <w:ind w:firstLine="840"/>
        <w:outlineLvl w:val="2"/>
        <w:rPr>
          <w:sz w:val="28"/>
          <w:szCs w:val="28"/>
        </w:rPr>
      </w:pPr>
      <w:r>
        <w:rPr>
          <w:sz w:val="28"/>
          <w:szCs w:val="28"/>
        </w:rPr>
        <w:t>а) пункт 4 дополнить словами «и уставом района»;</w:t>
      </w:r>
    </w:p>
    <w:p w:rsidR="00831B10" w:rsidRDefault="00831B10" w:rsidP="00831B10">
      <w:pPr>
        <w:widowControl/>
        <w:overflowPunct/>
        <w:spacing w:before="0" w:line="240" w:lineRule="auto"/>
        <w:ind w:firstLine="840"/>
        <w:outlineLvl w:val="2"/>
        <w:rPr>
          <w:sz w:val="28"/>
          <w:szCs w:val="28"/>
        </w:rPr>
      </w:pPr>
      <w:r>
        <w:rPr>
          <w:sz w:val="28"/>
          <w:szCs w:val="28"/>
        </w:rPr>
        <w:t>б) дополнить пунктом 4.1 следующего содержания: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«</w:t>
      </w:r>
      <w:r>
        <w:rPr>
          <w:rFonts w:eastAsia="Calibri"/>
          <w:bCs/>
          <w:sz w:val="28"/>
          <w:szCs w:val="28"/>
          <w:lang w:eastAsia="en-US"/>
        </w:rPr>
        <w:t>4.1.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лет.»;</w:t>
      </w:r>
    </w:p>
    <w:p w:rsidR="00831B10" w:rsidRDefault="00831B10" w:rsidP="00831B10">
      <w:pPr>
        <w:overflowPunct/>
        <w:adjustRightInd/>
        <w:spacing w:before="0" w:line="240" w:lineRule="auto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в) в подпункте 4 пункта 7 после слов «по </w:t>
      </w:r>
      <w:proofErr w:type="gramStart"/>
      <w:r>
        <w:rPr>
          <w:rFonts w:eastAsia="Calibri"/>
          <w:sz w:val="28"/>
          <w:szCs w:val="28"/>
          <w:lang w:eastAsia="en-US"/>
        </w:rPr>
        <w:t>гражданскому</w:t>
      </w:r>
      <w:proofErr w:type="gramEnd"/>
      <w:r>
        <w:rPr>
          <w:rFonts w:eastAsia="Calibri"/>
          <w:sz w:val="28"/>
          <w:szCs w:val="28"/>
          <w:lang w:eastAsia="en-US"/>
        </w:rPr>
        <w:t>» дополнить словом «, административному».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sz w:val="28"/>
          <w:szCs w:val="28"/>
          <w:lang w:eastAsia="en-US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5.  Статья 29 «Компетенция Совета района»: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hyperlink r:id="rId18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>пункт</w:t>
        </w:r>
        <w:r>
          <w:rPr>
            <w:rStyle w:val="a3"/>
            <w:rFonts w:eastAsia="Calibri"/>
            <w:bCs/>
            <w:sz w:val="28"/>
            <w:szCs w:val="28"/>
            <w:u w:val="none"/>
            <w:lang w:eastAsia="en-US"/>
          </w:rPr>
          <w:t xml:space="preserve"> </w:t>
        </w:r>
      </w:hyperlink>
      <w:r>
        <w:rPr>
          <w:rFonts w:eastAsia="Calibri"/>
          <w:bCs/>
          <w:sz w:val="28"/>
          <w:szCs w:val="28"/>
          <w:lang w:eastAsia="en-US"/>
        </w:rPr>
        <w:t>10  дополнить словами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пункте 19.2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после слова «поселений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дополнить словами «программ комплексного развития транспортной инфраструктуры поселений,  программ комплексного развития социальной инфраструктуры поселений,».</w:t>
      </w:r>
    </w:p>
    <w:p w:rsidR="00831B10" w:rsidRDefault="00831B10" w:rsidP="00831B10">
      <w:pPr>
        <w:widowControl/>
        <w:overflowPunct/>
        <w:spacing w:before="0" w:line="240" w:lineRule="auto"/>
        <w:ind w:firstLine="840"/>
        <w:outlineLvl w:val="2"/>
        <w:rPr>
          <w:b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84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6. Пункт 2 статьи 39 «Полномочия Главы района» дополнить словами: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 правом решающего голоса</w:t>
      </w:r>
      <w:proofErr w:type="gramStart"/>
      <w:r>
        <w:rPr>
          <w:rFonts w:eastAsia="Calibri"/>
          <w:sz w:val="28"/>
          <w:szCs w:val="28"/>
          <w:lang w:eastAsia="en-US"/>
        </w:rPr>
        <w:t>;»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b/>
          <w:sz w:val="28"/>
          <w:szCs w:val="28"/>
        </w:rPr>
      </w:pPr>
    </w:p>
    <w:p w:rsidR="00831B10" w:rsidRDefault="00831B10" w:rsidP="00831B10">
      <w:pPr>
        <w:widowControl/>
        <w:overflowPunct/>
        <w:autoSpaceDE/>
        <w:adjustRightInd/>
        <w:spacing w:before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>7.Абзац 5 части 3 с</w:t>
      </w:r>
      <w:r>
        <w:rPr>
          <w:b/>
          <w:sz w:val="28"/>
          <w:szCs w:val="28"/>
          <w:lang w:val="tt-RU"/>
        </w:rPr>
        <w:t>тать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>44 «Полномочия Исполнительного комитета»</w:t>
      </w:r>
      <w:r>
        <w:rPr>
          <w:b/>
          <w:sz w:val="28"/>
          <w:szCs w:val="28"/>
          <w:lang w:val="tt-RU"/>
        </w:rPr>
        <w:t xml:space="preserve"> изменить и изложить в следующей редакции:</w:t>
      </w:r>
    </w:p>
    <w:p w:rsidR="00831B10" w:rsidRDefault="00831B10" w:rsidP="00831B10">
      <w:pPr>
        <w:widowControl/>
        <w:overflowPunct/>
        <w:spacing w:before="0"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</w:t>
      </w:r>
      <w:r>
        <w:rPr>
          <w:rFonts w:eastAsia="Calibri"/>
          <w:bCs/>
          <w:sz w:val="28"/>
          <w:szCs w:val="28"/>
          <w:lang w:eastAsia="en-US"/>
        </w:rPr>
        <w:t>«-участвует 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отходов».</w:t>
      </w: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8.Статью 69 «</w:t>
      </w:r>
      <w:r>
        <w:rPr>
          <w:b/>
          <w:sz w:val="28"/>
          <w:szCs w:val="28"/>
          <w:lang w:val="tt-RU"/>
        </w:rPr>
        <w:t>Правовые акты Совета района</w:t>
      </w:r>
      <w:r>
        <w:rPr>
          <w:b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дополнить частью 2.1 следующего содержания: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8"/>
          <w:szCs w:val="24"/>
          <w:lang w:eastAsia="en-US"/>
        </w:rPr>
        <w:t xml:space="preserve">«2.1. Голос Главы района учитывается при принятии решений </w:t>
      </w:r>
      <w:r>
        <w:rPr>
          <w:rFonts w:eastAsia="Calibri"/>
          <w:bCs/>
          <w:sz w:val="28"/>
          <w:szCs w:val="28"/>
          <w:lang w:eastAsia="en-US"/>
        </w:rPr>
        <w:t>Советом  района</w:t>
      </w:r>
      <w:r>
        <w:rPr>
          <w:rFonts w:eastAsia="Calibri"/>
          <w:bCs/>
          <w:sz w:val="28"/>
          <w:szCs w:val="24"/>
          <w:lang w:eastAsia="en-US"/>
        </w:rPr>
        <w:t xml:space="preserve"> как голос депутата </w:t>
      </w:r>
      <w:r>
        <w:rPr>
          <w:rFonts w:eastAsia="Calibri"/>
          <w:bCs/>
          <w:sz w:val="28"/>
          <w:szCs w:val="28"/>
          <w:lang w:eastAsia="en-US"/>
        </w:rPr>
        <w:t>Совета района</w:t>
      </w:r>
      <w:proofErr w:type="gramStart"/>
      <w:r>
        <w:rPr>
          <w:rFonts w:eastAsia="Calibri"/>
          <w:bCs/>
          <w:sz w:val="28"/>
          <w:szCs w:val="24"/>
          <w:lang w:eastAsia="en-US"/>
        </w:rPr>
        <w:t>.»</w:t>
      </w:r>
      <w:proofErr w:type="gramEnd"/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9.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19" w:history="1">
        <w:r>
          <w:rPr>
            <w:rStyle w:val="a3"/>
            <w:rFonts w:eastAsia="Calibri"/>
            <w:b/>
            <w:bCs/>
            <w:color w:val="auto"/>
            <w:sz w:val="28"/>
            <w:szCs w:val="28"/>
            <w:u w:val="none"/>
            <w:lang w:eastAsia="en-US"/>
          </w:rPr>
          <w:t xml:space="preserve"> Часть 2 статьи </w:t>
        </w:r>
      </w:hyperlink>
      <w:r>
        <w:rPr>
          <w:rFonts w:eastAsia="Calibri"/>
          <w:b/>
          <w:bCs/>
          <w:sz w:val="28"/>
          <w:szCs w:val="28"/>
          <w:lang w:eastAsia="en-US"/>
        </w:rPr>
        <w:t>79 «Бюджетный процесс в районе»:</w:t>
      </w:r>
    </w:p>
    <w:p w:rsidR="00831B10" w:rsidRDefault="00831B10" w:rsidP="00831B10">
      <w:pPr>
        <w:widowControl/>
        <w:overflowPunct/>
        <w:spacing w:before="0" w:line="240" w:lineRule="auto"/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слова «затрат на их денежное содержание» заменить словами «расходов на оплату их труда».</w:t>
      </w: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p w:rsidR="00831B10" w:rsidRDefault="00831B10" w:rsidP="00831B10">
      <w:pPr>
        <w:widowControl/>
        <w:overflowPunct/>
        <w:spacing w:before="0" w:line="240" w:lineRule="auto"/>
        <w:ind w:firstLine="0"/>
        <w:outlineLvl w:val="2"/>
        <w:rPr>
          <w:b/>
          <w:bCs/>
          <w:sz w:val="28"/>
          <w:szCs w:val="28"/>
        </w:rPr>
      </w:pPr>
    </w:p>
    <w:sectPr w:rsidR="0083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10"/>
    <w:rsid w:val="001C0206"/>
    <w:rsid w:val="0083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10"/>
    <w:pPr>
      <w:widowControl w:val="0"/>
      <w:overflowPunct w:val="0"/>
      <w:autoSpaceDE w:val="0"/>
      <w:autoSpaceDN w:val="0"/>
      <w:adjustRightInd w:val="0"/>
      <w:spacing w:before="220" w:after="0" w:line="319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B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10"/>
    <w:pPr>
      <w:widowControl w:val="0"/>
      <w:overflowPunct w:val="0"/>
      <w:autoSpaceDE w:val="0"/>
      <w:autoSpaceDN w:val="0"/>
      <w:adjustRightInd w:val="0"/>
      <w:spacing w:before="220" w:after="0" w:line="319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345F457ECC173B5E43DF837969C14CB445782F3D02ER2z2F" TargetMode="External"/><Relationship Id="rId13" Type="http://schemas.openxmlformats.org/officeDocument/2006/relationships/hyperlink" Target="garantF1://12047594.27" TargetMode="External"/><Relationship Id="rId18" Type="http://schemas.openxmlformats.org/officeDocument/2006/relationships/hyperlink" Target="consultantplus://offline/ref=918C7C3AEF4EE6E685CF8A6E897A6000B970AC682486510E56914C0B1A3522206B9C8F9950C5B8F4A6B727i2B0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8E1190358A4AE8138CCB5F0EEC7A5066A681DAC500ADFA72B168D2D432CE30A298EB009A2A7291602E2F" TargetMode="Externa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garantF1://12054874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05879.31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990B0854759B4E3C0FB50497ECF8452C18CEB54B5546F95BECC173B5E43DF837969C14CB445782F3D72DR2z7F" TargetMode="External"/><Relationship Id="rId11" Type="http://schemas.openxmlformats.org/officeDocument/2006/relationships/hyperlink" Target="garantF1://12038258.510" TargetMode="External"/><Relationship Id="rId5" Type="http://schemas.openxmlformats.org/officeDocument/2006/relationships/hyperlink" Target="consultantplus://offline/ref=68E1190358A4AE8138CCB5F0EEC7A5066A681DAC500ADFA72B168D2D432CE30A298EB009A2A7291602E2F" TargetMode="External"/><Relationship Id="rId15" Type="http://schemas.openxmlformats.org/officeDocument/2006/relationships/hyperlink" Target="garantF1://10005879.311" TargetMode="External"/><Relationship Id="rId10" Type="http://schemas.openxmlformats.org/officeDocument/2006/relationships/hyperlink" Target="consultantplus://offline/ref=68E1190358A4AE8138CCB5F0EEC7A5066A681DAC500ADFA72B168D2D432CE30A298EB009A2A7291602E2F" TargetMode="External"/><Relationship Id="rId19" Type="http://schemas.openxmlformats.org/officeDocument/2006/relationships/hyperlink" Target="consultantplus://offline/ref=96BCBA553FECD57B79C525AE79E62F98CBBC3A7C1743987D015628756591054265F63E227BD0D0255D286CbAE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DB298B2906D9C95C692112B016381515D11806ED4F680CF811973A1330E35DE7411800FDB1D04F60762Bq447F" TargetMode="External"/><Relationship Id="rId14" Type="http://schemas.openxmlformats.org/officeDocument/2006/relationships/hyperlink" Target="garantF1://12088106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2015-12-09T07:37:00Z</dcterms:created>
  <dcterms:modified xsi:type="dcterms:W3CDTF">2015-12-09T07:41:00Z</dcterms:modified>
</cp:coreProperties>
</file>